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7CA54696"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8025CA" w:rsidRPr="008025CA">
        <w:rPr>
          <w:rFonts w:asciiTheme="minorEastAsia" w:eastAsiaTheme="minorEastAsia" w:hAnsiTheme="minorEastAsia" w:hint="eastAsia"/>
          <w:bCs/>
          <w:sz w:val="28"/>
          <w:szCs w:val="28"/>
        </w:rPr>
        <w:t>长春工业大学北湖校区东区主教学楼等校舍建设项目水土保持方案报告编制服务项目</w:t>
      </w:r>
    </w:p>
    <w:p w14:paraId="7A401908" w14:textId="7AE498B9"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F12263">
        <w:rPr>
          <w:rFonts w:asciiTheme="minorEastAsia" w:eastAsiaTheme="minorEastAsia" w:hAnsiTheme="minorEastAsia"/>
          <w:sz w:val="28"/>
          <w:szCs w:val="28"/>
        </w:rPr>
        <w:t>12</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5725CB95"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321374">
        <w:rPr>
          <w:rFonts w:asciiTheme="minorEastAsia" w:eastAsiaTheme="minorEastAsia" w:hAnsiTheme="minorEastAsia"/>
          <w:b/>
          <w:sz w:val="32"/>
          <w:szCs w:val="32"/>
        </w:rPr>
        <w:t xml:space="preserve"> </w:t>
      </w:r>
      <w:r w:rsidR="00F12263">
        <w:rPr>
          <w:rFonts w:asciiTheme="minorEastAsia" w:eastAsiaTheme="minorEastAsia" w:hAnsiTheme="minorEastAsia"/>
          <w:b/>
          <w:sz w:val="32"/>
          <w:szCs w:val="32"/>
        </w:rPr>
        <w:t>7</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第一章  招标公告</w:t>
      </w:r>
    </w:p>
    <w:p w14:paraId="31AAF250" w14:textId="59947729"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F12263" w:rsidRPr="00F12263">
        <w:rPr>
          <w:rFonts w:asciiTheme="minorEastAsia" w:eastAsiaTheme="minorEastAsia" w:hAnsiTheme="minorEastAsia" w:hint="eastAsia"/>
          <w:sz w:val="24"/>
        </w:rPr>
        <w:t>长春工业大学北湖校区东区主教学楼等校舍建设项目水土保持方案报告编制服务项目</w:t>
      </w:r>
      <w:r w:rsidRPr="00111249">
        <w:rPr>
          <w:rFonts w:asciiTheme="minorEastAsia" w:eastAsiaTheme="minorEastAsia" w:hAnsiTheme="minorEastAsia" w:hint="eastAsia"/>
          <w:sz w:val="24"/>
        </w:rPr>
        <w:t>进行竞争性谈判</w:t>
      </w:r>
      <w:r w:rsidRPr="00F12263">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061EA8C7" w14:textId="1993F920"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F12263">
        <w:rPr>
          <w:rFonts w:asciiTheme="minorEastAsia" w:eastAsiaTheme="minorEastAsia" w:hAnsiTheme="minorEastAsia"/>
          <w:b/>
          <w:sz w:val="24"/>
          <w:u w:val="single"/>
        </w:rPr>
        <w:t>7</w:t>
      </w:r>
      <w:r w:rsidRPr="00111249">
        <w:rPr>
          <w:rFonts w:asciiTheme="minorEastAsia" w:eastAsiaTheme="minorEastAsia" w:hAnsiTheme="minorEastAsia"/>
          <w:b/>
          <w:sz w:val="24"/>
          <w:u w:val="single"/>
        </w:rPr>
        <w:t>月</w:t>
      </w:r>
      <w:r w:rsidR="00F12263">
        <w:rPr>
          <w:rFonts w:asciiTheme="minorEastAsia" w:eastAsiaTheme="minorEastAsia" w:hAnsiTheme="minorEastAsia"/>
          <w:b/>
          <w:sz w:val="24"/>
          <w:u w:val="single"/>
        </w:rPr>
        <w:t>8</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0E006F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0CA8E6B2" w:rsidR="009235B6" w:rsidRPr="009235B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AFAD628" w14:textId="67A9C384"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1E9AF2CE" w14:textId="0E156E31"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lastRenderedPageBreak/>
        <w:t>采购预算：</w:t>
      </w:r>
      <w:r w:rsidR="00F02682">
        <w:rPr>
          <w:rFonts w:asciiTheme="minorEastAsia" w:eastAsiaTheme="minorEastAsia" w:hAnsiTheme="minorEastAsia"/>
          <w:bCs/>
          <w:sz w:val="24"/>
        </w:rPr>
        <w:t>9</w:t>
      </w:r>
      <w:r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67A2C112"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F12263">
        <w:rPr>
          <w:rFonts w:asciiTheme="minorEastAsia" w:eastAsiaTheme="minorEastAsia" w:hAnsiTheme="minorEastAsia"/>
          <w:b/>
          <w:sz w:val="24"/>
          <w:u w:val="single"/>
        </w:rPr>
        <w:t>7</w:t>
      </w:r>
      <w:r w:rsidR="000778F1" w:rsidRPr="00111249">
        <w:rPr>
          <w:rFonts w:asciiTheme="minorEastAsia" w:eastAsiaTheme="minorEastAsia" w:hAnsiTheme="minorEastAsia"/>
          <w:b/>
          <w:sz w:val="24"/>
          <w:u w:val="single"/>
        </w:rPr>
        <w:t>月</w:t>
      </w:r>
      <w:r w:rsidR="00F12263">
        <w:rPr>
          <w:rFonts w:asciiTheme="minorEastAsia" w:eastAsiaTheme="minorEastAsia" w:hAnsiTheme="minorEastAsia"/>
          <w:b/>
          <w:sz w:val="24"/>
          <w:u w:val="single"/>
        </w:rPr>
        <w:t>13</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00911C90">
        <w:rPr>
          <w:rFonts w:asciiTheme="minorEastAsia" w:eastAsiaTheme="minorEastAsia" w:hAnsiTheme="minorEastAsia"/>
          <w:sz w:val="24"/>
        </w:rPr>
        <w:t>10</w:t>
      </w:r>
      <w:r w:rsidRPr="00111249">
        <w:rPr>
          <w:rFonts w:asciiTheme="minorEastAsia" w:eastAsiaTheme="minorEastAsia" w:hAnsiTheme="minorEastAsia" w:hint="eastAsia"/>
          <w:sz w:val="24"/>
        </w:rPr>
        <w:t>:30前，所有投标文件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6E752C1A"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A85240">
        <w:rPr>
          <w:rFonts w:asciiTheme="minorEastAsia" w:eastAsiaTheme="minorEastAsia" w:hAnsiTheme="minorEastAsia" w:hint="eastAsia"/>
          <w:bCs/>
          <w:sz w:val="24"/>
        </w:rPr>
        <w:t>1</w:t>
      </w:r>
      <w:r w:rsidR="00A85240">
        <w:rPr>
          <w:rFonts w:asciiTheme="minorEastAsia" w:eastAsiaTheme="minorEastAsia" w:hAnsiTheme="minorEastAsia"/>
          <w:bCs/>
          <w:sz w:val="24"/>
        </w:rPr>
        <w:t>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3FA32CD6"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F12263">
        <w:rPr>
          <w:rFonts w:asciiTheme="minorEastAsia" w:eastAsiaTheme="minorEastAsia" w:hAnsiTheme="minorEastAsia" w:hint="eastAsia"/>
          <w:b/>
          <w:sz w:val="24"/>
          <w:u w:val="single"/>
        </w:rPr>
        <w:t>202</w:t>
      </w:r>
      <w:r w:rsidR="00F12263">
        <w:rPr>
          <w:rFonts w:asciiTheme="minorEastAsia" w:eastAsiaTheme="minorEastAsia" w:hAnsiTheme="minorEastAsia"/>
          <w:b/>
          <w:sz w:val="24"/>
          <w:u w:val="single"/>
        </w:rPr>
        <w:t>1</w:t>
      </w:r>
      <w:r w:rsidR="00F12263" w:rsidRPr="00111249">
        <w:rPr>
          <w:rFonts w:asciiTheme="minorEastAsia" w:eastAsiaTheme="minorEastAsia" w:hAnsiTheme="minorEastAsia"/>
          <w:b/>
          <w:sz w:val="24"/>
          <w:u w:val="single"/>
        </w:rPr>
        <w:t>年</w:t>
      </w:r>
      <w:r w:rsidR="00F12263">
        <w:rPr>
          <w:rFonts w:asciiTheme="minorEastAsia" w:eastAsiaTheme="minorEastAsia" w:hAnsiTheme="minorEastAsia"/>
          <w:b/>
          <w:sz w:val="24"/>
          <w:u w:val="single"/>
        </w:rPr>
        <w:t>7</w:t>
      </w:r>
      <w:r w:rsidR="00F12263" w:rsidRPr="00111249">
        <w:rPr>
          <w:rFonts w:asciiTheme="minorEastAsia" w:eastAsiaTheme="minorEastAsia" w:hAnsiTheme="minorEastAsia"/>
          <w:b/>
          <w:sz w:val="24"/>
          <w:u w:val="single"/>
        </w:rPr>
        <w:t>月</w:t>
      </w:r>
      <w:r w:rsidR="00F12263">
        <w:rPr>
          <w:rFonts w:asciiTheme="minorEastAsia" w:eastAsiaTheme="minorEastAsia" w:hAnsiTheme="minorEastAsia"/>
          <w:b/>
          <w:sz w:val="24"/>
          <w:u w:val="single"/>
        </w:rPr>
        <w:t>13</w:t>
      </w:r>
      <w:r w:rsidR="00F12263"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00911C90">
        <w:rPr>
          <w:rFonts w:asciiTheme="minorEastAsia" w:eastAsiaTheme="minorEastAsia" w:hAnsiTheme="minorEastAsia"/>
          <w:sz w:val="24"/>
        </w:rPr>
        <w:t>10</w:t>
      </w:r>
      <w:r w:rsidRPr="00111249">
        <w:rPr>
          <w:rFonts w:asciiTheme="minorEastAsia" w:eastAsiaTheme="minorEastAsia" w:hAnsiTheme="minorEastAsia" w:hint="eastAsia"/>
          <w:sz w:val="24"/>
        </w:rPr>
        <w:t>:30于吉林省长春市延安大街2055号长春工业大学主楼1447室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56F5E00F"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58198C8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户名：长春工业大学</w:t>
      </w:r>
    </w:p>
    <w:p w14:paraId="67313AE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731E0858"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49B806AB" w14:textId="3777344C"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lastRenderedPageBreak/>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09AC3C70" w14:textId="77777777" w:rsidR="00720B51" w:rsidRDefault="00720B51">
      <w:pPr>
        <w:jc w:val="center"/>
        <w:rPr>
          <w:rFonts w:asciiTheme="minorEastAsia" w:eastAsiaTheme="minorEastAsia" w:hAnsiTheme="minorEastAsia"/>
          <w:b/>
          <w:bCs/>
          <w:sz w:val="36"/>
        </w:rPr>
      </w:pPr>
    </w:p>
    <w:p w14:paraId="2F97520E" w14:textId="77777777" w:rsidR="00D66743" w:rsidRDefault="00D66743">
      <w:pPr>
        <w:jc w:val="center"/>
        <w:rPr>
          <w:rFonts w:asciiTheme="minorEastAsia" w:eastAsiaTheme="minorEastAsia" w:hAnsiTheme="minorEastAsia"/>
          <w:b/>
          <w:bCs/>
          <w:sz w:val="36"/>
        </w:rPr>
      </w:pPr>
    </w:p>
    <w:p w14:paraId="5B33BF5C" w14:textId="77777777" w:rsidR="00D66743" w:rsidRDefault="00D66743">
      <w:pPr>
        <w:jc w:val="center"/>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3711E957"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AC2C95" w:rsidRPr="00AC2C95">
        <w:rPr>
          <w:rFonts w:asciiTheme="minorEastAsia" w:eastAsiaTheme="minorEastAsia" w:hAnsiTheme="minorEastAsia" w:hint="eastAsia"/>
          <w:bCs/>
          <w:sz w:val="24"/>
        </w:rPr>
        <w:t>长春工业大学北湖校区东区主教学楼等校舍建设项目水土保持方案报告编制服务项目</w:t>
      </w:r>
    </w:p>
    <w:p w14:paraId="493DA1EC" w14:textId="18C229C9"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AC2C95">
        <w:rPr>
          <w:rFonts w:asciiTheme="minorEastAsia" w:eastAsiaTheme="minorEastAsia" w:hAnsiTheme="minorEastAsia"/>
          <w:sz w:val="24"/>
        </w:rPr>
        <w:t>9</w:t>
      </w:r>
      <w:r w:rsidRPr="00347380">
        <w:rPr>
          <w:rFonts w:asciiTheme="minorEastAsia" w:eastAsiaTheme="minorEastAsia" w:hAnsiTheme="minorEastAsia" w:hint="eastAsia"/>
          <w:sz w:val="24"/>
        </w:rPr>
        <w:t>万元  不接受超出预算的报价</w:t>
      </w:r>
    </w:p>
    <w:p w14:paraId="5C79B41F" w14:textId="5D6D5B43"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14:paraId="54AC98DB" w14:textId="7777777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hint="eastAsia"/>
          <w:sz w:val="24"/>
        </w:rPr>
        <w:t>一、按照《中华人民共和国水土保持法》、《吉林省水土保持条例》、《长春市水土保持条例》等相关法律法规要求，编制</w:t>
      </w:r>
      <w:r w:rsidRPr="00AC2C95">
        <w:rPr>
          <w:rFonts w:asciiTheme="minorEastAsia" w:eastAsiaTheme="minorEastAsia" w:hAnsiTheme="minorEastAsia"/>
          <w:sz w:val="24"/>
        </w:rPr>
        <w:t>长春工业大学北湖校区东区主教学楼等校舍建设项目</w:t>
      </w:r>
      <w:r w:rsidRPr="00AC2C95">
        <w:rPr>
          <w:rFonts w:asciiTheme="minorEastAsia" w:eastAsiaTheme="minorEastAsia" w:hAnsiTheme="minorEastAsia" w:hint="eastAsia"/>
          <w:sz w:val="24"/>
        </w:rPr>
        <w:t>项目水土保持方案报告书。项目内容详见《</w:t>
      </w:r>
      <w:r w:rsidRPr="00AC2C95">
        <w:rPr>
          <w:rFonts w:asciiTheme="minorEastAsia" w:eastAsiaTheme="minorEastAsia" w:hAnsiTheme="minorEastAsia"/>
          <w:sz w:val="24"/>
        </w:rPr>
        <w:t>长春工业大学北湖校区东区主教学楼等校舍建设项目可行性研究报告</w:t>
      </w:r>
      <w:r w:rsidRPr="00AC2C95">
        <w:rPr>
          <w:rFonts w:asciiTheme="minorEastAsia" w:eastAsiaTheme="minorEastAsia" w:hAnsiTheme="minorEastAsia" w:hint="eastAsia"/>
          <w:sz w:val="24"/>
        </w:rPr>
        <w:t>》。</w:t>
      </w:r>
    </w:p>
    <w:p w14:paraId="7C70EC29" w14:textId="77777777" w:rsidR="00AC2C95" w:rsidRPr="00AC2C95" w:rsidRDefault="00AC2C95" w:rsidP="00AC2C95">
      <w:pPr>
        <w:pStyle w:val="reader-word-layer"/>
        <w:shd w:val="clear" w:color="auto" w:fill="FFFFFF"/>
        <w:spacing w:before="0" w:beforeAutospacing="0" w:after="0" w:afterAutospacing="0" w:line="560" w:lineRule="exact"/>
        <w:rPr>
          <w:rFonts w:asciiTheme="minorEastAsia" w:eastAsiaTheme="minorEastAsia" w:hAnsiTheme="minorEastAsia" w:cstheme="minorBidi"/>
          <w:kern w:val="2"/>
        </w:rPr>
      </w:pPr>
      <w:r w:rsidRPr="00AC2C95">
        <w:rPr>
          <w:rFonts w:asciiTheme="minorEastAsia" w:eastAsiaTheme="minorEastAsia" w:hAnsiTheme="minorEastAsia" w:cstheme="minorBidi" w:hint="eastAsia"/>
          <w:kern w:val="2"/>
        </w:rPr>
        <w:t>二、工作量</w:t>
      </w:r>
      <w:r w:rsidRPr="00AC2C95">
        <w:rPr>
          <w:rFonts w:asciiTheme="minorEastAsia" w:eastAsiaTheme="minorEastAsia" w:hAnsiTheme="minorEastAsia" w:cstheme="minorBidi"/>
          <w:kern w:val="2"/>
        </w:rPr>
        <w:t> </w:t>
      </w:r>
    </w:p>
    <w:p w14:paraId="1320E299" w14:textId="7777777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hint="eastAsia"/>
          <w:sz w:val="24"/>
        </w:rPr>
        <w:t>整个项目期间工作量包括以下6个阶段：</w:t>
      </w:r>
      <w:r w:rsidRPr="00AC2C95">
        <w:rPr>
          <w:rFonts w:asciiTheme="minorEastAsia" w:eastAsiaTheme="minorEastAsia" w:hAnsiTheme="minorEastAsia"/>
          <w:sz w:val="24"/>
        </w:rPr>
        <w:t> </w:t>
      </w:r>
    </w:p>
    <w:p w14:paraId="6FA1CB3D" w14:textId="7777777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sz w:val="24"/>
        </w:rPr>
        <w:t>1</w:t>
      </w:r>
      <w:r w:rsidRPr="00AC2C95">
        <w:rPr>
          <w:rFonts w:asciiTheme="minorEastAsia" w:eastAsiaTheme="minorEastAsia" w:hAnsiTheme="minorEastAsia" w:hint="eastAsia"/>
          <w:sz w:val="24"/>
        </w:rPr>
        <w:t>、前期收集资料阶段：中标后，和业主对接，收集可行性研究报告及相关资料，并针对项目涉及地收集相关自然环境现状和社会经济资料。</w:t>
      </w:r>
      <w:r w:rsidRPr="00AC2C95">
        <w:rPr>
          <w:rFonts w:asciiTheme="minorEastAsia" w:eastAsiaTheme="minorEastAsia" w:hAnsiTheme="minorEastAsia"/>
          <w:sz w:val="24"/>
        </w:rPr>
        <w:t> </w:t>
      </w:r>
    </w:p>
    <w:p w14:paraId="2CFEE430" w14:textId="7777777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sz w:val="24"/>
        </w:rPr>
        <w:t>2</w:t>
      </w:r>
      <w:r w:rsidRPr="00AC2C95">
        <w:rPr>
          <w:rFonts w:asciiTheme="minorEastAsia" w:eastAsiaTheme="minorEastAsia" w:hAnsiTheme="minorEastAsia" w:hint="eastAsia"/>
          <w:sz w:val="24"/>
        </w:rPr>
        <w:t>、现场踏勘阶段：对本项目的现场踏勘和资料收集，对项目建设区域的自然条件、水土流失现状进行调查。</w:t>
      </w:r>
      <w:r w:rsidRPr="00AC2C95">
        <w:rPr>
          <w:rFonts w:asciiTheme="minorEastAsia" w:eastAsiaTheme="minorEastAsia" w:hAnsiTheme="minorEastAsia"/>
          <w:sz w:val="24"/>
        </w:rPr>
        <w:t> </w:t>
      </w:r>
    </w:p>
    <w:p w14:paraId="4984D72F" w14:textId="7777777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sz w:val="24"/>
        </w:rPr>
        <w:t>3</w:t>
      </w:r>
      <w:r w:rsidRPr="00AC2C95">
        <w:rPr>
          <w:rFonts w:asciiTheme="minorEastAsia" w:eastAsiaTheme="minorEastAsia" w:hAnsiTheme="minorEastAsia" w:hint="eastAsia"/>
          <w:sz w:val="24"/>
        </w:rPr>
        <w:t>、编制阶段：根据相关法律法规要求，编制</w:t>
      </w:r>
      <w:r w:rsidRPr="00AC2C95">
        <w:rPr>
          <w:rFonts w:asciiTheme="minorEastAsia" w:eastAsiaTheme="minorEastAsia" w:hAnsiTheme="minorEastAsia"/>
          <w:sz w:val="24"/>
        </w:rPr>
        <w:t>长春工业大学北湖校区东区主教学楼等校舍建设项目水</w:t>
      </w:r>
      <w:r w:rsidRPr="00AC2C95">
        <w:rPr>
          <w:rFonts w:asciiTheme="minorEastAsia" w:eastAsiaTheme="minorEastAsia" w:hAnsiTheme="minorEastAsia" w:hint="eastAsia"/>
          <w:sz w:val="24"/>
        </w:rPr>
        <w:t>土保持方案报告书。</w:t>
      </w:r>
    </w:p>
    <w:p w14:paraId="08400670" w14:textId="2BA54B37" w:rsidR="00AC2C95" w:rsidRPr="00AC2C95" w:rsidRDefault="00AC2C95" w:rsidP="00AC2C95">
      <w:pPr>
        <w:spacing w:line="560" w:lineRule="exact"/>
        <w:rPr>
          <w:rFonts w:asciiTheme="minorEastAsia" w:eastAsiaTheme="minorEastAsia" w:hAnsiTheme="minorEastAsia"/>
          <w:sz w:val="24"/>
        </w:rPr>
      </w:pPr>
      <w:r w:rsidRPr="00AC2C95">
        <w:rPr>
          <w:rFonts w:asciiTheme="minorEastAsia" w:eastAsiaTheme="minorEastAsia" w:hAnsiTheme="minorEastAsia"/>
          <w:sz w:val="24"/>
        </w:rPr>
        <w:t>4</w:t>
      </w:r>
      <w:r w:rsidRPr="00AC2C95">
        <w:rPr>
          <w:rFonts w:asciiTheme="minorEastAsia" w:eastAsiaTheme="minorEastAsia" w:hAnsiTheme="minorEastAsia" w:hint="eastAsia"/>
          <w:sz w:val="24"/>
        </w:rPr>
        <w:t>、送审阶段：准备审查文件，配合业主将《</w:t>
      </w:r>
      <w:r w:rsidRPr="00AC2C95">
        <w:rPr>
          <w:rFonts w:asciiTheme="minorEastAsia" w:eastAsiaTheme="minorEastAsia" w:hAnsiTheme="minorEastAsia"/>
          <w:sz w:val="24"/>
        </w:rPr>
        <w:t>长春工业大学北湖校区东区主教学楼等校舍建设项目水</w:t>
      </w:r>
      <w:r w:rsidRPr="00AC2C95">
        <w:rPr>
          <w:rFonts w:asciiTheme="minorEastAsia" w:eastAsiaTheme="minorEastAsia" w:hAnsiTheme="minorEastAsia" w:hint="eastAsia"/>
          <w:sz w:val="24"/>
        </w:rPr>
        <w:t>土保持方案报告书》报送长春新区农业委员会进行审查。</w:t>
      </w:r>
      <w:r w:rsidRPr="00AC2C95">
        <w:rPr>
          <w:rFonts w:asciiTheme="minorEastAsia" w:eastAsiaTheme="minorEastAsia" w:hAnsiTheme="minorEastAsia"/>
          <w:sz w:val="24"/>
        </w:rPr>
        <w:t> </w:t>
      </w:r>
    </w:p>
    <w:p w14:paraId="1B439A6E" w14:textId="77777777" w:rsidR="00AC2C95" w:rsidRPr="00AC2C95" w:rsidRDefault="00AC2C95" w:rsidP="00AC2C95">
      <w:pPr>
        <w:pStyle w:val="reader-word-layer"/>
        <w:shd w:val="clear" w:color="auto" w:fill="FFFFFF"/>
        <w:spacing w:before="0" w:beforeAutospacing="0" w:after="0" w:afterAutospacing="0" w:line="560" w:lineRule="exact"/>
        <w:rPr>
          <w:rFonts w:asciiTheme="minorEastAsia" w:eastAsiaTheme="minorEastAsia" w:hAnsiTheme="minorEastAsia" w:cstheme="minorBidi"/>
          <w:kern w:val="2"/>
        </w:rPr>
      </w:pPr>
      <w:r w:rsidRPr="00AC2C95">
        <w:rPr>
          <w:rFonts w:asciiTheme="minorEastAsia" w:eastAsiaTheme="minorEastAsia" w:hAnsiTheme="minorEastAsia" w:cstheme="minorBidi"/>
          <w:kern w:val="2"/>
        </w:rPr>
        <w:t>5</w:t>
      </w:r>
      <w:r w:rsidRPr="00AC2C95">
        <w:rPr>
          <w:rFonts w:asciiTheme="minorEastAsia" w:eastAsiaTheme="minorEastAsia" w:hAnsiTheme="minorEastAsia" w:cstheme="minorBidi" w:hint="eastAsia"/>
          <w:kern w:val="2"/>
        </w:rPr>
        <w:t>、评审阶段：参加长春新区农业委员会组织的审查会，对项目编制内容进行汇报，听取专家意见，并按专家意见对报告书完善修改，形成报批稿。</w:t>
      </w:r>
      <w:r w:rsidRPr="00AC2C95">
        <w:rPr>
          <w:rFonts w:asciiTheme="minorEastAsia" w:eastAsiaTheme="minorEastAsia" w:hAnsiTheme="minorEastAsia" w:cstheme="minorBidi"/>
          <w:kern w:val="2"/>
        </w:rPr>
        <w:t> </w:t>
      </w:r>
    </w:p>
    <w:p w14:paraId="0B883A17" w14:textId="77777777" w:rsidR="00AC2C95" w:rsidRPr="00AC2C95" w:rsidRDefault="00AC2C95" w:rsidP="00AC2C95">
      <w:pPr>
        <w:pStyle w:val="reader-word-layer"/>
        <w:shd w:val="clear" w:color="auto" w:fill="FFFFFF"/>
        <w:spacing w:before="0" w:beforeAutospacing="0" w:after="0" w:afterAutospacing="0" w:line="560" w:lineRule="exact"/>
        <w:rPr>
          <w:rFonts w:asciiTheme="minorEastAsia" w:eastAsiaTheme="minorEastAsia" w:hAnsiTheme="minorEastAsia" w:cstheme="minorBidi"/>
          <w:kern w:val="2"/>
        </w:rPr>
      </w:pPr>
      <w:r w:rsidRPr="00AC2C95">
        <w:rPr>
          <w:rFonts w:asciiTheme="minorEastAsia" w:eastAsiaTheme="minorEastAsia" w:hAnsiTheme="minorEastAsia" w:cstheme="minorBidi"/>
          <w:kern w:val="2"/>
        </w:rPr>
        <w:lastRenderedPageBreak/>
        <w:t>6</w:t>
      </w:r>
      <w:r w:rsidRPr="00AC2C95">
        <w:rPr>
          <w:rFonts w:asciiTheme="minorEastAsia" w:eastAsiaTheme="minorEastAsia" w:hAnsiTheme="minorEastAsia" w:cstheme="minorBidi" w:hint="eastAsia"/>
          <w:kern w:val="2"/>
        </w:rPr>
        <w:t>、报批阶段：将报批稿报送长春新区农业委员会，并配合业主取得水土保持方案审批文件。</w:t>
      </w:r>
    </w:p>
    <w:p w14:paraId="3F7493D7" w14:textId="52D44593" w:rsidR="00AC2C95" w:rsidRPr="00AC2C95" w:rsidRDefault="00985D61" w:rsidP="00AC2C95">
      <w:pPr>
        <w:spacing w:line="560" w:lineRule="exact"/>
        <w:rPr>
          <w:rFonts w:asciiTheme="minorEastAsia" w:eastAsiaTheme="minorEastAsia" w:hAnsiTheme="minorEastAsia"/>
          <w:sz w:val="24"/>
        </w:rPr>
      </w:pPr>
      <w:r>
        <w:rPr>
          <w:rFonts w:asciiTheme="minorEastAsia" w:eastAsiaTheme="minorEastAsia" w:hAnsiTheme="minorEastAsia" w:hint="eastAsia"/>
          <w:sz w:val="24"/>
        </w:rPr>
        <w:t>三</w:t>
      </w:r>
      <w:r w:rsidR="00AC2C95" w:rsidRPr="00AC2C95">
        <w:rPr>
          <w:rFonts w:asciiTheme="minorEastAsia" w:eastAsiaTheme="minorEastAsia" w:hAnsiTheme="minorEastAsia" w:hint="eastAsia"/>
          <w:sz w:val="24"/>
        </w:rPr>
        <w:t>、中标</w:t>
      </w:r>
      <w:r w:rsidR="00AF1AEF">
        <w:rPr>
          <w:rFonts w:asciiTheme="minorEastAsia" w:eastAsiaTheme="minorEastAsia" w:hAnsiTheme="minorEastAsia" w:hint="eastAsia"/>
          <w:sz w:val="24"/>
        </w:rPr>
        <w:t>人</w:t>
      </w:r>
      <w:r w:rsidR="00AC2C95" w:rsidRPr="00AC2C95">
        <w:rPr>
          <w:rFonts w:asciiTheme="minorEastAsia" w:eastAsiaTheme="minorEastAsia" w:hAnsiTheme="minorEastAsia" w:hint="eastAsia"/>
          <w:sz w:val="24"/>
        </w:rPr>
        <w:t>须配备水土保持报告书编制的项目负责人及技术团队，保证水土保持报告书编制的质量、进度等，确保水土保持报告书通过审批。</w:t>
      </w:r>
    </w:p>
    <w:p w14:paraId="43FFFDDA" w14:textId="74A020B5" w:rsidR="00CB5819" w:rsidRPr="00347380" w:rsidRDefault="00AC2C95" w:rsidP="00CB5819">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605139">
        <w:rPr>
          <w:rFonts w:asciiTheme="minorEastAsia" w:eastAsiaTheme="minorEastAsia" w:hAnsiTheme="minorEastAsia" w:hint="eastAsia"/>
          <w:b/>
          <w:sz w:val="24"/>
        </w:rPr>
        <w:t>时间</w:t>
      </w:r>
      <w:r w:rsidR="00CB5819" w:rsidRPr="00347380">
        <w:rPr>
          <w:rFonts w:asciiTheme="minorEastAsia" w:eastAsiaTheme="minorEastAsia" w:hAnsiTheme="minorEastAsia"/>
          <w:b/>
          <w:sz w:val="24"/>
        </w:rPr>
        <w:t>：</w:t>
      </w:r>
      <w:r w:rsidR="00985D61" w:rsidRPr="00AC2C95">
        <w:rPr>
          <w:rFonts w:asciiTheme="minorEastAsia" w:eastAsiaTheme="minorEastAsia" w:hAnsiTheme="minorEastAsia" w:hint="eastAsia"/>
          <w:sz w:val="24"/>
        </w:rPr>
        <w:t>合同签订后10日内</w:t>
      </w:r>
      <w:r w:rsidR="00985D61">
        <w:rPr>
          <w:rFonts w:asciiTheme="minorEastAsia" w:eastAsiaTheme="minorEastAsia" w:hAnsiTheme="minorEastAsia" w:hint="eastAsia"/>
          <w:sz w:val="24"/>
        </w:rPr>
        <w:t>完成报告书编制内容</w:t>
      </w:r>
      <w:r w:rsidR="00CB5819" w:rsidRPr="00347380">
        <w:rPr>
          <w:rFonts w:asciiTheme="minorEastAsia" w:eastAsiaTheme="minorEastAsia" w:hAnsiTheme="minorEastAsia"/>
          <w:sz w:val="24"/>
        </w:rPr>
        <w:t>。</w:t>
      </w:r>
    </w:p>
    <w:p w14:paraId="4EBA5FF2" w14:textId="77777777" w:rsidR="00720B51" w:rsidRPr="00347380" w:rsidRDefault="001B5A66" w:rsidP="00347380">
      <w:pPr>
        <w:spacing w:line="560" w:lineRule="exact"/>
        <w:outlineLvl w:val="0"/>
        <w:rPr>
          <w:rFonts w:asciiTheme="minorEastAsia" w:eastAsiaTheme="minorEastAsia" w:hAnsiTheme="minorEastAsia"/>
          <w:sz w:val="24"/>
        </w:rPr>
      </w:pPr>
      <w:r w:rsidRPr="00347380">
        <w:rPr>
          <w:rFonts w:asciiTheme="minorEastAsia" w:eastAsiaTheme="minorEastAsia" w:hAnsiTheme="minorEastAsia"/>
          <w:b/>
          <w:sz w:val="24"/>
        </w:rPr>
        <w:t>交货地点：</w:t>
      </w:r>
      <w:r w:rsidRPr="00347380">
        <w:rPr>
          <w:rFonts w:asciiTheme="minorEastAsia" w:eastAsiaTheme="minorEastAsia" w:hAnsiTheme="minorEastAsia"/>
          <w:sz w:val="24"/>
        </w:rPr>
        <w:t>长春工业大学指定地点。</w:t>
      </w:r>
    </w:p>
    <w:p w14:paraId="5EFFB941" w14:textId="4548ECC5" w:rsidR="00720B51" w:rsidRDefault="001B5A66" w:rsidP="004B4B89">
      <w:pPr>
        <w:spacing w:line="360" w:lineRule="auto"/>
        <w:jc w:val="left"/>
        <w:rPr>
          <w:rFonts w:asciiTheme="minorEastAsia" w:eastAsiaTheme="minorEastAsia" w:hAnsiTheme="minorEastAsia" w:cstheme="minorEastAsia"/>
          <w:sz w:val="24"/>
          <w:szCs w:val="28"/>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sidRPr="0021465C">
        <w:rPr>
          <w:rFonts w:asciiTheme="minorEastAsia" w:eastAsiaTheme="minorEastAsia" w:hAnsiTheme="minorEastAsia" w:hint="eastAsia"/>
          <w:bCs/>
          <w:sz w:val="24"/>
        </w:rPr>
        <w:t>：</w:t>
      </w:r>
      <w:r w:rsidR="005F5FDE">
        <w:rPr>
          <w:rFonts w:asciiTheme="minorEastAsia" w:eastAsiaTheme="minorEastAsia" w:hAnsiTheme="minorEastAsia" w:hint="eastAsia"/>
          <w:bCs/>
          <w:sz w:val="24"/>
        </w:rPr>
        <w:t>项目完成后</w:t>
      </w:r>
      <w:r w:rsidR="005F5FDE">
        <w:rPr>
          <w:rFonts w:asciiTheme="minorEastAsia" w:eastAsiaTheme="minorEastAsia" w:hAnsiTheme="minorEastAsia"/>
          <w:bCs/>
          <w:sz w:val="24"/>
        </w:rPr>
        <w:t>30</w:t>
      </w:r>
      <w:r w:rsidR="005F5FDE">
        <w:rPr>
          <w:rFonts w:asciiTheme="minorEastAsia" w:eastAsiaTheme="minorEastAsia" w:hAnsiTheme="minorEastAsia" w:hint="eastAsia"/>
          <w:bCs/>
          <w:sz w:val="24"/>
        </w:rPr>
        <w:t>日内一次性支付合同金额。</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348527DB"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sidR="001C1321">
        <w:rPr>
          <w:rFonts w:asciiTheme="minorEastAsia" w:eastAsiaTheme="minorEastAsia" w:hAnsiTheme="minorEastAsia" w:hint="eastAsia"/>
          <w:b/>
          <w:sz w:val="24"/>
        </w:rPr>
        <w:t>招标公告</w:t>
      </w:r>
      <w:r w:rsidRPr="00347380">
        <w:rPr>
          <w:rFonts w:asciiTheme="minorEastAsia" w:eastAsiaTheme="minorEastAsia" w:hAnsiTheme="minorEastAsia"/>
          <w:b/>
          <w:sz w:val="24"/>
        </w:rPr>
        <w:t>规定</w:t>
      </w:r>
      <w:r w:rsidR="001C1321">
        <w:rPr>
          <w:rFonts w:asciiTheme="minorEastAsia" w:eastAsiaTheme="minorEastAsia" w:hAnsiTheme="minorEastAsia" w:hint="eastAsia"/>
          <w:b/>
          <w:sz w:val="24"/>
        </w:rPr>
        <w:t>的</w:t>
      </w:r>
      <w:r w:rsidRPr="00347380">
        <w:rPr>
          <w:rFonts w:asciiTheme="minorEastAsia" w:eastAsiaTheme="minorEastAsia" w:hAnsiTheme="minorEastAsia"/>
          <w:b/>
          <w:sz w:val="24"/>
        </w:rPr>
        <w:t>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w:t>
      </w:r>
      <w:r w:rsidR="002C2712" w:rsidRPr="00251172">
        <w:rPr>
          <w:rFonts w:asciiTheme="minorEastAsia" w:eastAsiaTheme="minorEastAsia" w:hAnsiTheme="minorEastAsia" w:cs="宋体" w:hint="eastAsia"/>
          <w:bCs/>
          <w:sz w:val="24"/>
          <w:lang w:val="zh-CN"/>
        </w:rPr>
        <w:lastRenderedPageBreak/>
        <w:t>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w:t>
      </w:r>
      <w:r w:rsidR="002C2712" w:rsidRPr="00251172">
        <w:rPr>
          <w:rFonts w:asciiTheme="minorEastAsia" w:eastAsiaTheme="minorEastAsia" w:hAnsiTheme="minorEastAsia" w:cs="宋体" w:hint="eastAsia"/>
          <w:bCs/>
          <w:sz w:val="24"/>
          <w:lang w:val="zh-CN"/>
        </w:rPr>
        <w:lastRenderedPageBreak/>
        <w:t>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w:t>
      </w:r>
      <w:r w:rsidRPr="00251172">
        <w:rPr>
          <w:rFonts w:asciiTheme="minorEastAsia" w:eastAsiaTheme="minorEastAsia" w:hAnsiTheme="minorEastAsia" w:cs="宋体" w:hint="eastAsia"/>
          <w:sz w:val="24"/>
        </w:rPr>
        <w:lastRenderedPageBreak/>
        <w:t>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07496A72"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份。未中标的当场退还</w:t>
      </w:r>
      <w:r w:rsidR="00103DED">
        <w:rPr>
          <w:rFonts w:asciiTheme="minorEastAsia" w:eastAsiaTheme="minorEastAsia" w:hAnsiTheme="minorEastAsia" w:cs="宋体" w:hint="eastAsia"/>
          <w:bCs/>
          <w:color w:val="000000"/>
          <w:sz w:val="24"/>
          <w:highlight w:val="white"/>
          <w:lang w:val="zh-CN"/>
        </w:rPr>
        <w:t>投标文件副本</w:t>
      </w:r>
      <w:r w:rsidRPr="00347380">
        <w:rPr>
          <w:rFonts w:asciiTheme="minorEastAsia" w:eastAsiaTheme="minorEastAsia" w:hAnsiTheme="minorEastAsia" w:cs="宋体" w:hint="eastAsia"/>
          <w:bCs/>
          <w:color w:val="000000"/>
          <w:sz w:val="24"/>
          <w:highlight w:val="white"/>
          <w:lang w:val="zh-CN"/>
        </w:rPr>
        <w:t>。报价文件若有缺失、无效或者不符合谈判文件要求，将导致其报价被拒绝。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lastRenderedPageBreak/>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lastRenderedPageBreak/>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lastRenderedPageBreak/>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lastRenderedPageBreak/>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801F" w14:textId="77777777" w:rsidR="001B40A1" w:rsidRDefault="001B40A1" w:rsidP="00720B51">
      <w:r>
        <w:separator/>
      </w:r>
    </w:p>
  </w:endnote>
  <w:endnote w:type="continuationSeparator" w:id="0">
    <w:p w14:paraId="4DDBFBCC" w14:textId="77777777" w:rsidR="001B40A1" w:rsidRDefault="001B40A1"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1B40A1">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BEF3" w14:textId="77777777" w:rsidR="001B40A1" w:rsidRDefault="001B40A1" w:rsidP="00720B51">
      <w:r>
        <w:separator/>
      </w:r>
    </w:p>
  </w:footnote>
  <w:footnote w:type="continuationSeparator" w:id="0">
    <w:p w14:paraId="2CC9845D" w14:textId="77777777" w:rsidR="001B40A1" w:rsidRDefault="001B40A1"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1B40A1">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1B40A1">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1B40A1">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3DED"/>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615D6"/>
    <w:rsid w:val="00182BBE"/>
    <w:rsid w:val="00184EC0"/>
    <w:rsid w:val="00186CF4"/>
    <w:rsid w:val="00187E40"/>
    <w:rsid w:val="00192D68"/>
    <w:rsid w:val="001955A1"/>
    <w:rsid w:val="0019766D"/>
    <w:rsid w:val="00197FF5"/>
    <w:rsid w:val="001B40A1"/>
    <w:rsid w:val="001B5A66"/>
    <w:rsid w:val="001B5AE0"/>
    <w:rsid w:val="001B617C"/>
    <w:rsid w:val="001B7E91"/>
    <w:rsid w:val="001C1321"/>
    <w:rsid w:val="001C6BB1"/>
    <w:rsid w:val="001D1321"/>
    <w:rsid w:val="001D27DA"/>
    <w:rsid w:val="001D5010"/>
    <w:rsid w:val="001D6450"/>
    <w:rsid w:val="001E1F85"/>
    <w:rsid w:val="001E4B98"/>
    <w:rsid w:val="001F2BE5"/>
    <w:rsid w:val="001F6D77"/>
    <w:rsid w:val="00207308"/>
    <w:rsid w:val="002075E4"/>
    <w:rsid w:val="00210DDB"/>
    <w:rsid w:val="00210F80"/>
    <w:rsid w:val="0021465C"/>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77FE3"/>
    <w:rsid w:val="003868A0"/>
    <w:rsid w:val="00391792"/>
    <w:rsid w:val="00391813"/>
    <w:rsid w:val="003935A7"/>
    <w:rsid w:val="00397581"/>
    <w:rsid w:val="00397D7A"/>
    <w:rsid w:val="003B2654"/>
    <w:rsid w:val="003C34EE"/>
    <w:rsid w:val="003D495B"/>
    <w:rsid w:val="003D60CC"/>
    <w:rsid w:val="003E07E5"/>
    <w:rsid w:val="003F178B"/>
    <w:rsid w:val="003F1C1C"/>
    <w:rsid w:val="003F250A"/>
    <w:rsid w:val="00400D68"/>
    <w:rsid w:val="00404471"/>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5065F8"/>
    <w:rsid w:val="00506BB9"/>
    <w:rsid w:val="00507467"/>
    <w:rsid w:val="00510474"/>
    <w:rsid w:val="00525756"/>
    <w:rsid w:val="005352D0"/>
    <w:rsid w:val="00535352"/>
    <w:rsid w:val="005411A6"/>
    <w:rsid w:val="00541269"/>
    <w:rsid w:val="00544F79"/>
    <w:rsid w:val="00545F78"/>
    <w:rsid w:val="00554908"/>
    <w:rsid w:val="00570EB3"/>
    <w:rsid w:val="00572E4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5FDE"/>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85D96"/>
    <w:rsid w:val="006962CE"/>
    <w:rsid w:val="006A098B"/>
    <w:rsid w:val="006A31EC"/>
    <w:rsid w:val="006A4C2F"/>
    <w:rsid w:val="006A6E6B"/>
    <w:rsid w:val="006B075A"/>
    <w:rsid w:val="006B5EE9"/>
    <w:rsid w:val="006B78F7"/>
    <w:rsid w:val="006C3193"/>
    <w:rsid w:val="006C31C9"/>
    <w:rsid w:val="006C35BF"/>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6029"/>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5C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1C90"/>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5D61"/>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765D3"/>
    <w:rsid w:val="00A81F88"/>
    <w:rsid w:val="00A84858"/>
    <w:rsid w:val="00A85240"/>
    <w:rsid w:val="00A86CB8"/>
    <w:rsid w:val="00A90444"/>
    <w:rsid w:val="00A91138"/>
    <w:rsid w:val="00A91A2D"/>
    <w:rsid w:val="00A91F67"/>
    <w:rsid w:val="00A92788"/>
    <w:rsid w:val="00A9424D"/>
    <w:rsid w:val="00A9716B"/>
    <w:rsid w:val="00AA7019"/>
    <w:rsid w:val="00AB3DF8"/>
    <w:rsid w:val="00AC2C95"/>
    <w:rsid w:val="00AE16EB"/>
    <w:rsid w:val="00AE1E06"/>
    <w:rsid w:val="00AF1AEF"/>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93F88"/>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4AD"/>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1BF0"/>
    <w:rsid w:val="00F02682"/>
    <w:rsid w:val="00F04FFC"/>
    <w:rsid w:val="00F06ACE"/>
    <w:rsid w:val="00F12263"/>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AC2C9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1652</Words>
  <Characters>9419</Characters>
  <Application>Microsoft Office Word</Application>
  <DocSecurity>0</DocSecurity>
  <Lines>78</Lines>
  <Paragraphs>22</Paragraphs>
  <ScaleCrop>false</ScaleCrop>
  <Company>微软中国</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478</cp:revision>
  <cp:lastPrinted>2019-03-29T00:24:00Z</cp:lastPrinted>
  <dcterms:created xsi:type="dcterms:W3CDTF">2015-04-08T00:14:00Z</dcterms:created>
  <dcterms:modified xsi:type="dcterms:W3CDTF">2021-07-05T00:47:00Z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